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A6A" w:rsidRDefault="008C3A6A" w:rsidP="008C3A6A">
      <w:pPr>
        <w:spacing w:line="240" w:lineRule="auto"/>
        <w:jc w:val="center"/>
        <w:rPr>
          <w:rFonts w:ascii="Arial" w:eastAsia="Times New Roman" w:hAnsi="Arial" w:cs="Arial"/>
          <w:b/>
          <w:bCs/>
          <w:color w:val="FFFFFF" w:themeColor="background1"/>
          <w:sz w:val="24"/>
          <w:szCs w:val="24"/>
          <w:highlight w:val="darkBlue"/>
        </w:rPr>
      </w:pPr>
      <w:r>
        <w:rPr>
          <w:rFonts w:ascii="Arial" w:eastAsia="Times New Roman" w:hAnsi="Arial" w:cs="Arial"/>
          <w:b/>
          <w:bCs/>
          <w:noProof/>
          <w:color w:val="FFFFFF" w:themeColor="background1"/>
          <w:sz w:val="24"/>
          <w:szCs w:val="24"/>
        </w:rPr>
        <w:drawing>
          <wp:anchor distT="0" distB="0" distL="114300" distR="114300" simplePos="0" relativeHeight="251658240" behindDoc="0" locked="0" layoutInCell="1" allowOverlap="1">
            <wp:simplePos x="0" y="0"/>
            <wp:positionH relativeFrom="column">
              <wp:posOffset>2203720</wp:posOffset>
            </wp:positionH>
            <wp:positionV relativeFrom="paragraph">
              <wp:posOffset>-733246</wp:posOffset>
            </wp:positionV>
            <wp:extent cx="2179631" cy="83676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 Broadcasters color2.jpg"/>
                    <pic:cNvPicPr/>
                  </pic:nvPicPr>
                  <pic:blipFill>
                    <a:blip r:embed="rId5">
                      <a:extLst>
                        <a:ext uri="{28A0092B-C50C-407E-A947-70E740481C1C}">
                          <a14:useLocalDpi xmlns:a14="http://schemas.microsoft.com/office/drawing/2010/main" val="0"/>
                        </a:ext>
                      </a:extLst>
                    </a:blip>
                    <a:stretch>
                      <a:fillRect/>
                    </a:stretch>
                  </pic:blipFill>
                  <pic:spPr>
                    <a:xfrm>
                      <a:off x="0" y="0"/>
                      <a:ext cx="2179631" cy="836762"/>
                    </a:xfrm>
                    <a:prstGeom prst="rect">
                      <a:avLst/>
                    </a:prstGeom>
                  </pic:spPr>
                </pic:pic>
              </a:graphicData>
            </a:graphic>
          </wp:anchor>
        </w:drawing>
      </w:r>
    </w:p>
    <w:p w:rsidR="00FC7E33" w:rsidRPr="008C3A6A" w:rsidRDefault="00FC7E33" w:rsidP="00FC7E33">
      <w:pPr>
        <w:spacing w:line="240" w:lineRule="auto"/>
        <w:jc w:val="both"/>
        <w:rPr>
          <w:rFonts w:ascii="Arial" w:eastAsia="Times New Roman" w:hAnsi="Arial" w:cs="Arial"/>
          <w:b/>
          <w:bCs/>
          <w:color w:val="FFFFFF" w:themeColor="background1"/>
          <w:sz w:val="24"/>
          <w:szCs w:val="24"/>
        </w:rPr>
      </w:pPr>
      <w:r w:rsidRPr="008C3A6A">
        <w:rPr>
          <w:rFonts w:ascii="Arial" w:eastAsia="Times New Roman" w:hAnsi="Arial" w:cs="Arial"/>
          <w:b/>
          <w:bCs/>
          <w:color w:val="FFFFFF" w:themeColor="background1"/>
          <w:sz w:val="24"/>
          <w:szCs w:val="24"/>
          <w:highlight w:val="darkBlue"/>
        </w:rPr>
        <w:t xml:space="preserve">SOUTH DAKOTA’S SMALL BUSINESS </w:t>
      </w:r>
      <w:r w:rsidR="005418D2">
        <w:rPr>
          <w:rFonts w:ascii="Arial" w:eastAsia="Times New Roman" w:hAnsi="Arial" w:cs="Arial"/>
          <w:b/>
          <w:bCs/>
          <w:color w:val="FFFFFF" w:themeColor="background1"/>
          <w:sz w:val="24"/>
          <w:szCs w:val="24"/>
          <w:highlight w:val="darkBlue"/>
        </w:rPr>
        <w:t xml:space="preserve">START-UP </w:t>
      </w:r>
      <w:r w:rsidRPr="008C3A6A">
        <w:rPr>
          <w:rFonts w:ascii="Arial" w:eastAsia="Times New Roman" w:hAnsi="Arial" w:cs="Arial"/>
          <w:b/>
          <w:bCs/>
          <w:color w:val="FFFFFF" w:themeColor="background1"/>
          <w:sz w:val="24"/>
          <w:szCs w:val="24"/>
          <w:highlight w:val="darkBlue"/>
        </w:rPr>
        <w:t xml:space="preserve">GRANT PROGRAM </w:t>
      </w:r>
    </w:p>
    <w:p w:rsidR="004172DB" w:rsidRPr="004172DB" w:rsidRDefault="004172DB" w:rsidP="00FC7E33">
      <w:pPr>
        <w:spacing w:line="240" w:lineRule="auto"/>
        <w:jc w:val="both"/>
        <w:rPr>
          <w:rFonts w:ascii="Arial" w:eastAsia="Times New Roman" w:hAnsi="Arial" w:cs="Arial"/>
          <w:sz w:val="21"/>
          <w:szCs w:val="21"/>
        </w:rPr>
      </w:pPr>
      <w:r w:rsidRPr="004172DB">
        <w:rPr>
          <w:rFonts w:ascii="Arial" w:eastAsia="Times New Roman" w:hAnsi="Arial" w:cs="Arial"/>
          <w:sz w:val="21"/>
          <w:szCs w:val="21"/>
        </w:rPr>
        <w:t xml:space="preserve">On October 5, the legislature passed funding authority </w:t>
      </w:r>
      <w:r w:rsidR="002C5C02">
        <w:rPr>
          <w:rFonts w:ascii="Arial" w:eastAsia="Times New Roman" w:hAnsi="Arial" w:cs="Arial"/>
          <w:sz w:val="21"/>
          <w:szCs w:val="21"/>
        </w:rPr>
        <w:t>a</w:t>
      </w:r>
      <w:r w:rsidRPr="004172DB">
        <w:rPr>
          <w:rFonts w:ascii="Arial" w:eastAsia="Times New Roman" w:hAnsi="Arial" w:cs="Arial"/>
          <w:sz w:val="21"/>
          <w:szCs w:val="21"/>
        </w:rPr>
        <w:t xml:space="preserve"> $</w:t>
      </w:r>
      <w:r w:rsidR="002C5C02">
        <w:rPr>
          <w:rFonts w:ascii="Arial" w:eastAsia="Times New Roman" w:hAnsi="Arial" w:cs="Arial"/>
          <w:sz w:val="21"/>
          <w:szCs w:val="21"/>
        </w:rPr>
        <w:t>10</w:t>
      </w:r>
      <w:r w:rsidRPr="004172DB">
        <w:rPr>
          <w:rFonts w:ascii="Arial" w:eastAsia="Times New Roman" w:hAnsi="Arial" w:cs="Arial"/>
          <w:sz w:val="21"/>
          <w:szCs w:val="21"/>
        </w:rPr>
        <w:t xml:space="preserve"> million Small Business Grant Program, designed to provide direct grants to</w:t>
      </w:r>
      <w:r w:rsidR="002C5C02">
        <w:rPr>
          <w:rFonts w:ascii="Arial" w:eastAsia="Times New Roman" w:hAnsi="Arial" w:cs="Arial"/>
          <w:sz w:val="21"/>
          <w:szCs w:val="21"/>
        </w:rPr>
        <w:t xml:space="preserve"> new</w:t>
      </w:r>
      <w:r w:rsidRPr="004172DB">
        <w:rPr>
          <w:rFonts w:ascii="Arial" w:eastAsia="Times New Roman" w:hAnsi="Arial" w:cs="Arial"/>
          <w:sz w:val="21"/>
          <w:szCs w:val="21"/>
        </w:rPr>
        <w:t xml:space="preserve"> businesses negatively impacted by COVID-19. The application process is slated to begin on October 13, 2020 and end on October 23. </w:t>
      </w:r>
    </w:p>
    <w:p w:rsidR="004172DB" w:rsidRPr="004172DB" w:rsidRDefault="004172DB" w:rsidP="004172DB">
      <w:pPr>
        <w:shd w:val="clear" w:color="auto" w:fill="FFFFFF"/>
        <w:spacing w:after="0" w:line="240" w:lineRule="auto"/>
        <w:rPr>
          <w:rFonts w:ascii="Arial" w:eastAsia="Times New Roman" w:hAnsi="Arial" w:cs="Arial"/>
          <w:color w:val="2A2A2A"/>
          <w:sz w:val="21"/>
          <w:szCs w:val="21"/>
        </w:rPr>
      </w:pPr>
      <w:r w:rsidRPr="004172DB">
        <w:rPr>
          <w:rFonts w:ascii="Arial" w:eastAsia="Times New Roman" w:hAnsi="Arial" w:cs="Arial"/>
          <w:color w:val="2A2A2A"/>
          <w:sz w:val="21"/>
          <w:szCs w:val="21"/>
        </w:rPr>
        <w:t>The application will be entirely online – paper forms will not be accepted. </w:t>
      </w:r>
      <w:r w:rsidR="00FC7E33" w:rsidRPr="008C3A6A">
        <w:rPr>
          <w:rFonts w:ascii="Arial" w:eastAsia="Times New Roman" w:hAnsi="Arial" w:cs="Arial"/>
          <w:color w:val="2A2A2A"/>
          <w:sz w:val="21"/>
          <w:szCs w:val="21"/>
        </w:rPr>
        <w:t xml:space="preserve">Applications will be live at 8:00 a.m. (CT) on October 13, at </w:t>
      </w:r>
      <w:hyperlink r:id="rId6" w:history="1">
        <w:r w:rsidRPr="008C3A6A">
          <w:rPr>
            <w:rFonts w:ascii="Arial" w:eastAsia="Times New Roman" w:hAnsi="Arial" w:cs="Arial"/>
            <w:b/>
            <w:bCs/>
            <w:i/>
            <w:iCs/>
            <w:color w:val="083A81"/>
            <w:sz w:val="21"/>
            <w:szCs w:val="21"/>
          </w:rPr>
          <w:t>covid.sd.gov/smallbusiness-healthcare-grants.aspx</w:t>
        </w:r>
      </w:hyperlink>
      <w:r w:rsidRPr="008C3A6A">
        <w:rPr>
          <w:rFonts w:ascii="Arial" w:eastAsia="Times New Roman" w:hAnsi="Arial" w:cs="Arial"/>
          <w:b/>
          <w:bCs/>
          <w:i/>
          <w:iCs/>
          <w:color w:val="2A2A2A"/>
          <w:sz w:val="21"/>
          <w:szCs w:val="21"/>
        </w:rPr>
        <w:t> </w:t>
      </w:r>
      <w:r w:rsidRPr="008C3A6A">
        <w:rPr>
          <w:rFonts w:ascii="Arial" w:eastAsia="Times New Roman" w:hAnsi="Arial" w:cs="Arial"/>
          <w:i/>
          <w:iCs/>
          <w:color w:val="2A2A2A"/>
          <w:sz w:val="21"/>
          <w:szCs w:val="21"/>
        </w:rPr>
        <w:t>(this page will be continually updated as more information becomes available).</w:t>
      </w:r>
      <w:r w:rsidRPr="004172DB">
        <w:rPr>
          <w:rFonts w:ascii="Arial" w:eastAsia="Times New Roman" w:hAnsi="Arial" w:cs="Arial"/>
          <w:color w:val="2A2A2A"/>
          <w:sz w:val="21"/>
          <w:szCs w:val="21"/>
        </w:rPr>
        <w:br/>
      </w:r>
      <w:r w:rsidRPr="004172DB">
        <w:rPr>
          <w:rFonts w:ascii="Arial" w:eastAsia="Times New Roman" w:hAnsi="Arial" w:cs="Arial"/>
          <w:color w:val="2A2A2A"/>
          <w:sz w:val="21"/>
          <w:szCs w:val="21"/>
        </w:rPr>
        <w:br/>
      </w:r>
      <w:r w:rsidRPr="008C3A6A">
        <w:rPr>
          <w:rFonts w:ascii="Arial" w:eastAsia="Times New Roman" w:hAnsi="Arial" w:cs="Arial"/>
          <w:b/>
          <w:bCs/>
          <w:color w:val="2A2A2A"/>
          <w:sz w:val="21"/>
          <w:szCs w:val="21"/>
        </w:rPr>
        <w:t>In the meantime, here are a few items you should have ready:</w:t>
      </w:r>
    </w:p>
    <w:p w:rsidR="004172DB" w:rsidRPr="004172DB" w:rsidRDefault="004172DB" w:rsidP="002C5C02">
      <w:pPr>
        <w:numPr>
          <w:ilvl w:val="0"/>
          <w:numId w:val="7"/>
        </w:numPr>
        <w:shd w:val="clear" w:color="auto" w:fill="FFFFFF"/>
        <w:spacing w:before="100" w:beforeAutospacing="1" w:after="100" w:afterAutospacing="1" w:line="240" w:lineRule="auto"/>
        <w:rPr>
          <w:rFonts w:ascii="Arial" w:eastAsia="Times New Roman" w:hAnsi="Arial" w:cs="Arial"/>
          <w:color w:val="2A2A2A"/>
          <w:sz w:val="21"/>
          <w:szCs w:val="21"/>
        </w:rPr>
      </w:pPr>
      <w:r w:rsidRPr="004172DB">
        <w:rPr>
          <w:rFonts w:ascii="Arial" w:eastAsia="Times New Roman" w:hAnsi="Arial" w:cs="Arial"/>
          <w:color w:val="2A2A2A"/>
          <w:sz w:val="21"/>
          <w:szCs w:val="21"/>
        </w:rPr>
        <w:t xml:space="preserve">Your Taxpayer Identification Number (TIN) and legal business name used to register with the IRS. It will be very important that the official business name on your grant application matches your TIN. </w:t>
      </w:r>
      <w:r w:rsidRPr="008C3A6A">
        <w:rPr>
          <w:rFonts w:ascii="Arial" w:eastAsia="Times New Roman" w:hAnsi="Arial" w:cs="Arial"/>
          <w:b/>
          <w:bCs/>
          <w:i/>
          <w:iCs/>
          <w:color w:val="2A2A2A"/>
          <w:sz w:val="21"/>
          <w:szCs w:val="21"/>
        </w:rPr>
        <w:t>If you are unsure of this information, call the IRS at 1-800-829-4933 and request an IRS 147C Letter.</w:t>
      </w:r>
    </w:p>
    <w:p w:rsidR="004172DB" w:rsidRPr="004172DB" w:rsidRDefault="004172DB" w:rsidP="002C5C02">
      <w:pPr>
        <w:numPr>
          <w:ilvl w:val="0"/>
          <w:numId w:val="7"/>
        </w:numPr>
        <w:shd w:val="clear" w:color="auto" w:fill="FFFFFF"/>
        <w:spacing w:before="100" w:beforeAutospacing="1" w:after="100" w:afterAutospacing="1" w:line="240" w:lineRule="auto"/>
        <w:rPr>
          <w:rFonts w:ascii="Arial" w:eastAsia="Times New Roman" w:hAnsi="Arial" w:cs="Arial"/>
          <w:color w:val="2A2A2A"/>
          <w:sz w:val="21"/>
          <w:szCs w:val="21"/>
        </w:rPr>
      </w:pPr>
      <w:r w:rsidRPr="004172DB">
        <w:rPr>
          <w:rFonts w:ascii="Arial" w:eastAsia="Times New Roman" w:hAnsi="Arial" w:cs="Arial"/>
          <w:color w:val="2A2A2A"/>
          <w:sz w:val="21"/>
          <w:szCs w:val="21"/>
        </w:rPr>
        <w:t>Relevant business information (profit and loss sheets, balance sheets, etc.).</w:t>
      </w:r>
    </w:p>
    <w:p w:rsidR="004172DB" w:rsidRPr="002C5C02" w:rsidRDefault="004172DB" w:rsidP="002C5C02">
      <w:pPr>
        <w:pStyle w:val="ListParagraph"/>
        <w:numPr>
          <w:ilvl w:val="0"/>
          <w:numId w:val="7"/>
        </w:numPr>
        <w:shd w:val="clear" w:color="auto" w:fill="FFFFFF"/>
        <w:spacing w:before="100" w:beforeAutospacing="1" w:after="100" w:afterAutospacing="1" w:line="240" w:lineRule="auto"/>
        <w:rPr>
          <w:rFonts w:ascii="Arial" w:eastAsia="Times New Roman" w:hAnsi="Arial" w:cs="Arial"/>
          <w:color w:val="2A2A2A"/>
          <w:sz w:val="21"/>
          <w:szCs w:val="21"/>
        </w:rPr>
      </w:pPr>
      <w:r w:rsidRPr="002C5C02">
        <w:rPr>
          <w:rFonts w:ascii="Arial" w:eastAsia="Times New Roman" w:hAnsi="Arial" w:cs="Arial"/>
          <w:color w:val="2A2A2A"/>
          <w:sz w:val="21"/>
          <w:szCs w:val="21"/>
        </w:rPr>
        <w:t>Bank Routing and Account numbers (for depositing grant funds).</w:t>
      </w:r>
    </w:p>
    <w:p w:rsidR="004172DB" w:rsidRPr="002C5C02" w:rsidRDefault="004172DB" w:rsidP="004172DB">
      <w:pPr>
        <w:shd w:val="clear" w:color="auto" w:fill="FFFFFF"/>
        <w:spacing w:after="0" w:line="240" w:lineRule="auto"/>
        <w:rPr>
          <w:rFonts w:ascii="Arial" w:eastAsia="Times New Roman" w:hAnsi="Arial" w:cs="Arial"/>
          <w:color w:val="2A2A2A"/>
          <w:sz w:val="21"/>
          <w:szCs w:val="21"/>
        </w:rPr>
      </w:pPr>
      <w:r w:rsidRPr="008C3A6A">
        <w:rPr>
          <w:rFonts w:ascii="Arial" w:eastAsia="Times New Roman" w:hAnsi="Arial" w:cs="Arial"/>
          <w:b/>
          <w:bCs/>
          <w:color w:val="FFFFFF" w:themeColor="background1"/>
          <w:sz w:val="24"/>
          <w:szCs w:val="24"/>
          <w:highlight w:val="darkBlue"/>
        </w:rPr>
        <w:t>P</w:t>
      </w:r>
      <w:r w:rsidR="00FC7E33" w:rsidRPr="008C3A6A">
        <w:rPr>
          <w:rFonts w:ascii="Arial" w:eastAsia="Times New Roman" w:hAnsi="Arial" w:cs="Arial"/>
          <w:b/>
          <w:bCs/>
          <w:color w:val="FFFFFF" w:themeColor="background1"/>
          <w:sz w:val="24"/>
          <w:szCs w:val="24"/>
          <w:highlight w:val="darkBlue"/>
        </w:rPr>
        <w:t>ROGRAM DETAILS</w:t>
      </w:r>
      <w:r w:rsidRPr="004172DB">
        <w:rPr>
          <w:rFonts w:ascii="Arial" w:eastAsia="Times New Roman" w:hAnsi="Arial" w:cs="Arial"/>
          <w:color w:val="2A2A2A"/>
          <w:sz w:val="21"/>
          <w:szCs w:val="21"/>
        </w:rPr>
        <w:br/>
      </w:r>
      <w:r w:rsidR="002C5C02" w:rsidRPr="002C5C02">
        <w:rPr>
          <w:rFonts w:ascii="Arial" w:hAnsi="Arial" w:cs="Arial"/>
          <w:sz w:val="21"/>
          <w:szCs w:val="21"/>
        </w:rPr>
        <w:t>$10,000,000 of the remaining unspent and unobligated coronavirus relief funds be used for a small business start-up grant program in accordance to the following provisions and in accordance with the CARES Act:</w:t>
      </w:r>
      <w:r w:rsidRPr="004172DB">
        <w:rPr>
          <w:rFonts w:ascii="Arial" w:eastAsia="Times New Roman" w:hAnsi="Arial" w:cs="Arial"/>
          <w:color w:val="2A2A2A"/>
          <w:sz w:val="21"/>
          <w:szCs w:val="21"/>
        </w:rPr>
        <w:br/>
      </w:r>
      <w:r w:rsidRPr="002C5C02">
        <w:rPr>
          <w:rFonts w:ascii="Arial" w:eastAsia="Times New Roman" w:hAnsi="Arial" w:cs="Arial"/>
          <w:color w:val="2A2A2A"/>
          <w:sz w:val="21"/>
          <w:szCs w:val="21"/>
        </w:rPr>
        <w:br/>
      </w:r>
      <w:r w:rsidRPr="002C5C02">
        <w:rPr>
          <w:rFonts w:ascii="Arial" w:eastAsia="Times New Roman" w:hAnsi="Arial" w:cs="Arial"/>
          <w:b/>
          <w:bCs/>
          <w:color w:val="2A2A2A"/>
          <w:sz w:val="21"/>
          <w:szCs w:val="21"/>
        </w:rPr>
        <w:t>Grant amounts are based on cash flow from operations March through August:</w:t>
      </w:r>
    </w:p>
    <w:p w:rsidR="002C5C02" w:rsidRPr="002C5C02" w:rsidRDefault="002C5C02" w:rsidP="002C5C02">
      <w:pPr>
        <w:numPr>
          <w:ilvl w:val="0"/>
          <w:numId w:val="2"/>
        </w:numPr>
        <w:shd w:val="clear" w:color="auto" w:fill="FFFFFF"/>
        <w:spacing w:before="100" w:beforeAutospacing="1" w:after="100" w:afterAutospacing="1" w:line="240" w:lineRule="auto"/>
        <w:ind w:left="0"/>
        <w:rPr>
          <w:rFonts w:ascii="Arial" w:eastAsia="Times New Roman" w:hAnsi="Arial" w:cs="Arial"/>
          <w:color w:val="2A2A2A"/>
          <w:sz w:val="21"/>
          <w:szCs w:val="21"/>
        </w:rPr>
      </w:pPr>
      <w:r w:rsidRPr="002C5C02">
        <w:rPr>
          <w:rFonts w:ascii="Arial" w:hAnsi="Arial" w:cs="Arial"/>
          <w:sz w:val="21"/>
          <w:szCs w:val="21"/>
        </w:rPr>
        <w:t>Grants up to $100,000 per qualifying business</w:t>
      </w:r>
      <w:bookmarkStart w:id="0" w:name="_GoBack"/>
      <w:bookmarkEnd w:id="0"/>
      <w:r w:rsidRPr="002C5C02">
        <w:rPr>
          <w:rFonts w:ascii="Arial" w:eastAsia="Times New Roman" w:hAnsi="Arial" w:cs="Arial"/>
          <w:color w:val="2A2A2A"/>
          <w:sz w:val="21"/>
          <w:szCs w:val="21"/>
        </w:rPr>
        <w:br/>
        <w:t xml:space="preserve"> </w:t>
      </w:r>
    </w:p>
    <w:p w:rsidR="002C5C02" w:rsidRPr="002C5C02" w:rsidRDefault="002C5C02" w:rsidP="004172DB">
      <w:pPr>
        <w:numPr>
          <w:ilvl w:val="0"/>
          <w:numId w:val="2"/>
        </w:numPr>
        <w:shd w:val="clear" w:color="auto" w:fill="FFFFFF"/>
        <w:spacing w:before="100" w:beforeAutospacing="1" w:after="100" w:afterAutospacing="1" w:line="240" w:lineRule="auto"/>
        <w:ind w:left="0"/>
        <w:rPr>
          <w:rFonts w:ascii="Arial" w:eastAsia="Times New Roman" w:hAnsi="Arial" w:cs="Arial"/>
          <w:color w:val="2A2A2A"/>
          <w:sz w:val="21"/>
          <w:szCs w:val="21"/>
        </w:rPr>
      </w:pPr>
      <w:r w:rsidRPr="002C5C02">
        <w:rPr>
          <w:rFonts w:ascii="Arial" w:hAnsi="Arial" w:cs="Arial"/>
          <w:sz w:val="21"/>
          <w:szCs w:val="21"/>
        </w:rPr>
        <w:t>Each eligible business shall:</w:t>
      </w:r>
    </w:p>
    <w:p w:rsidR="002C5C02" w:rsidRPr="002C5C02" w:rsidRDefault="002C5C02" w:rsidP="002C5C02">
      <w:pPr>
        <w:pStyle w:val="ListParagraph"/>
        <w:numPr>
          <w:ilvl w:val="0"/>
          <w:numId w:val="6"/>
        </w:numPr>
        <w:shd w:val="clear" w:color="auto" w:fill="FFFFFF"/>
        <w:spacing w:before="100" w:beforeAutospacing="1" w:after="100" w:afterAutospacing="1" w:line="240" w:lineRule="auto"/>
        <w:rPr>
          <w:rFonts w:ascii="Arial" w:hAnsi="Arial" w:cs="Arial"/>
          <w:sz w:val="21"/>
          <w:szCs w:val="21"/>
        </w:rPr>
      </w:pPr>
      <w:r w:rsidRPr="002C5C02">
        <w:rPr>
          <w:rFonts w:ascii="Arial" w:hAnsi="Arial" w:cs="Arial"/>
          <w:sz w:val="21"/>
          <w:szCs w:val="21"/>
        </w:rPr>
        <w:t>Be located in South Dakota</w:t>
      </w:r>
    </w:p>
    <w:p w:rsidR="002C5C02" w:rsidRPr="002C5C02" w:rsidRDefault="002C5C02" w:rsidP="002C5C02">
      <w:pPr>
        <w:pStyle w:val="ListParagraph"/>
        <w:numPr>
          <w:ilvl w:val="0"/>
          <w:numId w:val="6"/>
        </w:numPr>
        <w:shd w:val="clear" w:color="auto" w:fill="FFFFFF"/>
        <w:spacing w:before="100" w:beforeAutospacing="1" w:after="100" w:afterAutospacing="1" w:line="240" w:lineRule="auto"/>
        <w:rPr>
          <w:rFonts w:ascii="Arial" w:hAnsi="Arial" w:cs="Arial"/>
          <w:sz w:val="21"/>
          <w:szCs w:val="21"/>
        </w:rPr>
      </w:pPr>
      <w:r w:rsidRPr="002C5C02">
        <w:rPr>
          <w:rFonts w:ascii="Arial" w:hAnsi="Arial" w:cs="Arial"/>
          <w:sz w:val="21"/>
          <w:szCs w:val="21"/>
        </w:rPr>
        <w:t>Registered with the Secretary of State or the Department of Revenue between September 1, 2019 and June 1, 2020</w:t>
      </w:r>
    </w:p>
    <w:p w:rsidR="002C5C02" w:rsidRPr="002C5C02" w:rsidRDefault="002C5C02" w:rsidP="002C5C02">
      <w:pPr>
        <w:pStyle w:val="ListParagraph"/>
        <w:numPr>
          <w:ilvl w:val="0"/>
          <w:numId w:val="6"/>
        </w:numPr>
        <w:shd w:val="clear" w:color="auto" w:fill="FFFFFF"/>
        <w:spacing w:before="100" w:beforeAutospacing="1" w:after="100" w:afterAutospacing="1" w:line="240" w:lineRule="auto"/>
        <w:rPr>
          <w:rFonts w:ascii="Arial" w:hAnsi="Arial" w:cs="Arial"/>
          <w:sz w:val="21"/>
          <w:szCs w:val="21"/>
        </w:rPr>
      </w:pPr>
      <w:r w:rsidRPr="002C5C02">
        <w:rPr>
          <w:rFonts w:ascii="Arial" w:hAnsi="Arial" w:cs="Arial"/>
          <w:sz w:val="21"/>
          <w:szCs w:val="21"/>
        </w:rPr>
        <w:t>Be open and operating on date of application</w:t>
      </w:r>
    </w:p>
    <w:p w:rsidR="004172DB" w:rsidRPr="002C5C02" w:rsidRDefault="002C5C02" w:rsidP="002C5C02">
      <w:pPr>
        <w:pStyle w:val="ListParagraph"/>
        <w:numPr>
          <w:ilvl w:val="0"/>
          <w:numId w:val="6"/>
        </w:numPr>
        <w:shd w:val="clear" w:color="auto" w:fill="FFFFFF"/>
        <w:spacing w:before="100" w:beforeAutospacing="1" w:after="100" w:afterAutospacing="1" w:line="240" w:lineRule="auto"/>
        <w:rPr>
          <w:rFonts w:ascii="Arial" w:hAnsi="Arial" w:cs="Arial"/>
          <w:sz w:val="21"/>
          <w:szCs w:val="21"/>
        </w:rPr>
      </w:pPr>
      <w:r w:rsidRPr="002C5C02">
        <w:rPr>
          <w:rFonts w:ascii="Arial" w:hAnsi="Arial" w:cs="Arial"/>
          <w:sz w:val="21"/>
          <w:szCs w:val="21"/>
        </w:rPr>
        <w:t xml:space="preserve">Demonstrate average monthly income during the period between March 1 - August 31, 2020, was less than 120 percent of average monthly income prior to March 1, 2020; or that the business operated at a net loss (cash basis) in at least three of the six months between March 1, 2020 - August 31, 2020 </w:t>
      </w:r>
    </w:p>
    <w:p w:rsidR="004172DB" w:rsidRPr="002C5C02" w:rsidRDefault="002C5C02" w:rsidP="004172DB">
      <w:pPr>
        <w:numPr>
          <w:ilvl w:val="0"/>
          <w:numId w:val="2"/>
        </w:numPr>
        <w:shd w:val="clear" w:color="auto" w:fill="FFFFFF"/>
        <w:spacing w:before="100" w:beforeAutospacing="1" w:after="100" w:afterAutospacing="1" w:line="240" w:lineRule="auto"/>
        <w:ind w:left="0"/>
        <w:rPr>
          <w:rFonts w:ascii="Arial" w:eastAsia="Times New Roman" w:hAnsi="Arial" w:cs="Arial"/>
          <w:color w:val="2A2A2A"/>
          <w:sz w:val="21"/>
          <w:szCs w:val="21"/>
        </w:rPr>
      </w:pPr>
      <w:r w:rsidRPr="002C5C02">
        <w:rPr>
          <w:rFonts w:ascii="Arial" w:hAnsi="Arial" w:cs="Arial"/>
          <w:sz w:val="21"/>
          <w:szCs w:val="21"/>
        </w:rPr>
        <w:t>Grant amounts shall be up to twenty percent of the business’s cash expenses (March through August, excluding depreciation, amortization, and noncash expenses) minus any “federal aid” which is defined as any Paycheck Protection Program (PPP) funds or other federal COVID grant funding received by the business in 2020</w:t>
      </w:r>
      <w:r>
        <w:rPr>
          <w:rFonts w:ascii="Arial" w:hAnsi="Arial" w:cs="Arial"/>
          <w:sz w:val="21"/>
          <w:szCs w:val="21"/>
        </w:rPr>
        <w:t>.</w:t>
      </w:r>
    </w:p>
    <w:p w:rsidR="008C3A6A" w:rsidRPr="008C3A6A" w:rsidRDefault="004172DB" w:rsidP="008C3A6A">
      <w:pPr>
        <w:shd w:val="clear" w:color="auto" w:fill="FFFFFF"/>
        <w:spacing w:line="240" w:lineRule="auto"/>
        <w:rPr>
          <w:rFonts w:ascii="Arial" w:eastAsia="Times New Roman" w:hAnsi="Arial" w:cs="Arial"/>
          <w:color w:val="2A2A2A"/>
          <w:sz w:val="21"/>
          <w:szCs w:val="21"/>
        </w:rPr>
      </w:pPr>
      <w:r w:rsidRPr="008C3A6A">
        <w:rPr>
          <w:rFonts w:ascii="Arial" w:eastAsia="Times New Roman" w:hAnsi="Arial" w:cs="Arial"/>
          <w:b/>
          <w:bCs/>
          <w:color w:val="2A2A2A"/>
          <w:sz w:val="21"/>
          <w:szCs w:val="21"/>
        </w:rPr>
        <w:t>Once all applications are received: </w:t>
      </w:r>
      <w:r w:rsidRPr="004172DB">
        <w:rPr>
          <w:rFonts w:ascii="Arial" w:eastAsia="Times New Roman" w:hAnsi="Arial" w:cs="Arial"/>
          <w:color w:val="2A2A2A"/>
          <w:sz w:val="21"/>
          <w:szCs w:val="21"/>
        </w:rPr>
        <w:br/>
        <w:t>Grants will be made based on a pro-rata share of available funds. After applying, we anticipate that application review will take about a month before funds will be dispersed. Because the number of applicants is unknown, it is important to complete an application if you have any desire to access available funds, even if you don’t think you qualify. </w:t>
      </w:r>
      <w:r w:rsidRPr="004172DB">
        <w:rPr>
          <w:rFonts w:ascii="Arial" w:eastAsia="Times New Roman" w:hAnsi="Arial" w:cs="Arial"/>
          <w:color w:val="2A2A2A"/>
          <w:sz w:val="21"/>
          <w:szCs w:val="21"/>
        </w:rPr>
        <w:br/>
      </w:r>
      <w:r w:rsidRPr="004172DB">
        <w:rPr>
          <w:rFonts w:ascii="Arial" w:eastAsia="Times New Roman" w:hAnsi="Arial" w:cs="Arial"/>
          <w:color w:val="2A2A2A"/>
          <w:sz w:val="21"/>
          <w:szCs w:val="21"/>
        </w:rPr>
        <w:br/>
      </w:r>
      <w:r w:rsidRPr="008C3A6A">
        <w:rPr>
          <w:rFonts w:ascii="Arial" w:eastAsia="Times New Roman" w:hAnsi="Arial" w:cs="Arial"/>
          <w:b/>
          <w:bCs/>
          <w:color w:val="2A2A2A"/>
          <w:sz w:val="21"/>
          <w:szCs w:val="21"/>
        </w:rPr>
        <w:t>Dispersal of funds</w:t>
      </w:r>
      <w:proofErr w:type="gramStart"/>
      <w:r w:rsidRPr="008C3A6A">
        <w:rPr>
          <w:rFonts w:ascii="Arial" w:eastAsia="Times New Roman" w:hAnsi="Arial" w:cs="Arial"/>
          <w:b/>
          <w:bCs/>
          <w:color w:val="2A2A2A"/>
          <w:sz w:val="21"/>
          <w:szCs w:val="21"/>
        </w:rPr>
        <w:t>:</w:t>
      </w:r>
      <w:proofErr w:type="gramEnd"/>
      <w:r w:rsidRPr="004172DB">
        <w:rPr>
          <w:rFonts w:ascii="Arial" w:eastAsia="Times New Roman" w:hAnsi="Arial" w:cs="Arial"/>
          <w:color w:val="2A2A2A"/>
          <w:sz w:val="21"/>
          <w:szCs w:val="21"/>
        </w:rPr>
        <w:br/>
        <w:t>All funds must be dispersed by December 30, 2020, so if there are limited applicants and funds remaining, the provisions of the program may be changed. That means only businesses that have submitted applications by the deadline would be eligible for additional funds, even if they were ineligible in the first round.</w:t>
      </w:r>
    </w:p>
    <w:sectPr w:rsidR="008C3A6A" w:rsidRPr="008C3A6A" w:rsidSect="008C3A6A">
      <w:pgSz w:w="12240" w:h="15840"/>
      <w:pgMar w:top="1440" w:right="1008"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23304"/>
    <w:multiLevelType w:val="multilevel"/>
    <w:tmpl w:val="CA22074C"/>
    <w:lvl w:ilvl="0">
      <w:start w:val="1"/>
      <w:numFmt w:val="decimal"/>
      <w:lvlText w:val="%1."/>
      <w:lvlJc w:val="left"/>
      <w:pPr>
        <w:tabs>
          <w:tab w:val="num" w:pos="1440"/>
        </w:tabs>
        <w:ind w:left="1440" w:hanging="360"/>
      </w:pPr>
      <w:rPr>
        <w:rFonts w:hint="default"/>
        <w:sz w:val="20"/>
      </w:rPr>
    </w:lvl>
    <w:lvl w:ilvl="1">
      <w:start w:val="1"/>
      <w:numFmt w:val="bullet"/>
      <w:lvlText w:val="o"/>
      <w:lvlJc w:val="left"/>
      <w:pPr>
        <w:tabs>
          <w:tab w:val="num" w:pos="2160"/>
        </w:tabs>
        <w:ind w:left="2160" w:hanging="360"/>
      </w:pPr>
      <w:rPr>
        <w:rFonts w:ascii="Courier New" w:hAnsi="Courier New" w:hint="default"/>
        <w:sz w:val="20"/>
      </w:rPr>
    </w:lvl>
    <w:lvl w:ilvl="2">
      <w:numFmt w:val="bullet"/>
      <w:lvlText w:val="•"/>
      <w:lvlJc w:val="left"/>
      <w:pPr>
        <w:ind w:left="2880" w:hanging="360"/>
      </w:pPr>
      <w:rPr>
        <w:rFonts w:ascii="Calibri" w:eastAsiaTheme="minorHAnsi" w:hAnsi="Calibri" w:cs="Calibri"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13AD7886"/>
    <w:multiLevelType w:val="multilevel"/>
    <w:tmpl w:val="CA22074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484BD5"/>
    <w:multiLevelType w:val="hybridMultilevel"/>
    <w:tmpl w:val="E8D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71C96"/>
    <w:multiLevelType w:val="multilevel"/>
    <w:tmpl w:val="BBC0253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 w15:restartNumberingAfterBreak="0">
    <w:nsid w:val="30EE4F39"/>
    <w:multiLevelType w:val="hybridMultilevel"/>
    <w:tmpl w:val="2B24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E67875"/>
    <w:multiLevelType w:val="hybridMultilevel"/>
    <w:tmpl w:val="CC0A1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1B1048"/>
    <w:multiLevelType w:val="hybridMultilevel"/>
    <w:tmpl w:val="590E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2DB"/>
    <w:rsid w:val="002C5C02"/>
    <w:rsid w:val="004172DB"/>
    <w:rsid w:val="005418D2"/>
    <w:rsid w:val="0058113B"/>
    <w:rsid w:val="007606EB"/>
    <w:rsid w:val="008C3A6A"/>
    <w:rsid w:val="00FC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05D8D-FE31-4A15-9900-647B9FAD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172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72DB"/>
    <w:rPr>
      <w:rFonts w:ascii="Times New Roman" w:eastAsia="Times New Roman" w:hAnsi="Times New Roman" w:cs="Times New Roman"/>
      <w:b/>
      <w:bCs/>
      <w:sz w:val="36"/>
      <w:szCs w:val="36"/>
    </w:rPr>
  </w:style>
  <w:style w:type="character" w:styleId="Strong">
    <w:name w:val="Strong"/>
    <w:basedOn w:val="DefaultParagraphFont"/>
    <w:uiPriority w:val="22"/>
    <w:qFormat/>
    <w:rsid w:val="004172DB"/>
    <w:rPr>
      <w:b/>
      <w:bCs/>
    </w:rPr>
  </w:style>
  <w:style w:type="character" w:styleId="Hyperlink">
    <w:name w:val="Hyperlink"/>
    <w:basedOn w:val="DefaultParagraphFont"/>
    <w:uiPriority w:val="99"/>
    <w:semiHidden/>
    <w:unhideWhenUsed/>
    <w:rsid w:val="004172DB"/>
    <w:rPr>
      <w:color w:val="0000FF"/>
      <w:u w:val="single"/>
    </w:rPr>
  </w:style>
  <w:style w:type="character" w:customStyle="1" w:styleId="wsite-button-inner">
    <w:name w:val="wsite-button-inner"/>
    <w:basedOn w:val="DefaultParagraphFont"/>
    <w:rsid w:val="004172DB"/>
  </w:style>
  <w:style w:type="character" w:styleId="Emphasis">
    <w:name w:val="Emphasis"/>
    <w:basedOn w:val="DefaultParagraphFont"/>
    <w:uiPriority w:val="20"/>
    <w:qFormat/>
    <w:rsid w:val="004172DB"/>
    <w:rPr>
      <w:i/>
      <w:iCs/>
    </w:rPr>
  </w:style>
  <w:style w:type="paragraph" w:styleId="ListParagraph">
    <w:name w:val="List Paragraph"/>
    <w:basedOn w:val="Normal"/>
    <w:uiPriority w:val="34"/>
    <w:qFormat/>
    <w:rsid w:val="002C5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7383">
      <w:bodyDiv w:val="1"/>
      <w:marLeft w:val="0"/>
      <w:marRight w:val="0"/>
      <w:marTop w:val="0"/>
      <w:marBottom w:val="0"/>
      <w:divBdr>
        <w:top w:val="none" w:sz="0" w:space="0" w:color="auto"/>
        <w:left w:val="none" w:sz="0" w:space="0" w:color="auto"/>
        <w:bottom w:val="none" w:sz="0" w:space="0" w:color="auto"/>
        <w:right w:val="none" w:sz="0" w:space="0" w:color="auto"/>
      </w:divBdr>
      <w:divsChild>
        <w:div w:id="1541085757">
          <w:marLeft w:val="0"/>
          <w:marRight w:val="0"/>
          <w:marTop w:val="0"/>
          <w:marBottom w:val="0"/>
          <w:divBdr>
            <w:top w:val="none" w:sz="0" w:space="0" w:color="auto"/>
            <w:left w:val="none" w:sz="0" w:space="0" w:color="auto"/>
            <w:bottom w:val="none" w:sz="0" w:space="0" w:color="auto"/>
            <w:right w:val="none" w:sz="0" w:space="0" w:color="auto"/>
          </w:divBdr>
          <w:divsChild>
            <w:div w:id="1483035326">
              <w:marLeft w:val="-225"/>
              <w:marRight w:val="-225"/>
              <w:marTop w:val="0"/>
              <w:marBottom w:val="0"/>
              <w:divBdr>
                <w:top w:val="none" w:sz="0" w:space="0" w:color="auto"/>
                <w:left w:val="none" w:sz="0" w:space="0" w:color="auto"/>
                <w:bottom w:val="none" w:sz="0" w:space="0" w:color="auto"/>
                <w:right w:val="none" w:sz="0" w:space="0" w:color="auto"/>
              </w:divBdr>
              <w:divsChild>
                <w:div w:id="8068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2711">
          <w:marLeft w:val="0"/>
          <w:marRight w:val="0"/>
          <w:marTop w:val="0"/>
          <w:marBottom w:val="330"/>
          <w:divBdr>
            <w:top w:val="none" w:sz="0" w:space="0" w:color="auto"/>
            <w:left w:val="none" w:sz="0" w:space="0" w:color="auto"/>
            <w:bottom w:val="none" w:sz="0" w:space="0" w:color="auto"/>
            <w:right w:val="none" w:sz="0" w:space="0" w:color="auto"/>
          </w:divBdr>
        </w:div>
        <w:div w:id="1559322724">
          <w:marLeft w:val="0"/>
          <w:marRight w:val="0"/>
          <w:marTop w:val="0"/>
          <w:marBottom w:val="330"/>
          <w:divBdr>
            <w:top w:val="none" w:sz="0" w:space="0" w:color="auto"/>
            <w:left w:val="none" w:sz="0" w:space="0" w:color="auto"/>
            <w:bottom w:val="none" w:sz="0" w:space="0" w:color="auto"/>
            <w:right w:val="none" w:sz="0" w:space="0" w:color="auto"/>
          </w:divBdr>
        </w:div>
        <w:div w:id="1115949801">
          <w:marLeft w:val="0"/>
          <w:marRight w:val="0"/>
          <w:marTop w:val="0"/>
          <w:marBottom w:val="330"/>
          <w:divBdr>
            <w:top w:val="none" w:sz="0" w:space="0" w:color="auto"/>
            <w:left w:val="none" w:sz="0" w:space="0" w:color="auto"/>
            <w:bottom w:val="none" w:sz="0" w:space="0" w:color="auto"/>
            <w:right w:val="none" w:sz="0" w:space="0" w:color="auto"/>
          </w:divBdr>
        </w:div>
        <w:div w:id="1459838603">
          <w:marLeft w:val="0"/>
          <w:marRight w:val="0"/>
          <w:marTop w:val="0"/>
          <w:marBottom w:val="0"/>
          <w:divBdr>
            <w:top w:val="none" w:sz="0" w:space="0" w:color="auto"/>
            <w:left w:val="none" w:sz="0" w:space="0" w:color="auto"/>
            <w:bottom w:val="none" w:sz="0" w:space="0" w:color="auto"/>
            <w:right w:val="none" w:sz="0" w:space="0" w:color="auto"/>
          </w:divBdr>
          <w:divsChild>
            <w:div w:id="104354701">
              <w:marLeft w:val="-225"/>
              <w:marRight w:val="-225"/>
              <w:marTop w:val="0"/>
              <w:marBottom w:val="0"/>
              <w:divBdr>
                <w:top w:val="none" w:sz="0" w:space="0" w:color="auto"/>
                <w:left w:val="none" w:sz="0" w:space="0" w:color="auto"/>
                <w:bottom w:val="none" w:sz="0" w:space="0" w:color="auto"/>
                <w:right w:val="none" w:sz="0" w:space="0" w:color="auto"/>
              </w:divBdr>
            </w:div>
          </w:divsChild>
        </w:div>
        <w:div w:id="673268447">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s.weblinkinternational.com/ls/click?upn=VBr-2BPbhUg2HKTbxK0Z0RikAuaWqXhevTDOocayDG9bdqsjgVPTbM6C9bmEw3yEyTkmsSHx5OJu8Dtdzhee9p6gWcczlPSbgrV4afmHKnaRE-3DNLpg_pIQ-2F4JFAdW1Y1DrWp-2BU0Tx9ER5ooSbufyUTgOw6f6gVWgAZHQ2AcBPisIKRQ7ZK8jLOy4rmAH-2BLA6yX59rdDe8llDFnM4urjR40zxkm-2BRjzT3AP3ohgVJh0hHRbZbENqWMZB-2Fytm9P1IieuFpiYMyz6wQzvKVYavtVqrGw5ienilXZEaKoM6Z75Bq21zclplHw08CJPvlXQTjp9okGs-2FTg-3D-3D"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2020-10-12T17:20:00Z</dcterms:created>
  <dcterms:modified xsi:type="dcterms:W3CDTF">2020-10-12T17:20:00Z</dcterms:modified>
</cp:coreProperties>
</file>